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0D8" w:rsidRPr="00FD50D8" w:rsidRDefault="00FD50D8" w:rsidP="00FD50D8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 xml:space="preserve">The </w:t>
      </w:r>
      <w:r w:rsidRPr="00FD50D8">
        <w:rPr>
          <w:rFonts w:ascii="Arial" w:eastAsia="Times New Roman" w:hAnsi="Arial" w:cs="Arial"/>
          <w:i/>
          <w:color w:val="1F4E79" w:themeColor="accent5" w:themeShade="80"/>
          <w:sz w:val="27"/>
          <w:szCs w:val="27"/>
        </w:rPr>
        <w:t>Community Impact Fund</w:t>
      </w: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 xml:space="preserve"> made the following investments in 2021: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American Red Cross Serving the Texas Hill Country - $7,500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Any Baby Can of San Antonio</w:t>
      </w:r>
      <w:r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 xml:space="preserve"> </w:t>
      </w: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- $7,000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Arms of Hope - $5,000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Arthur Nagel Community Clinic - $12,000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Bandera County Committee on Aging</w:t>
      </w:r>
      <w:r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 xml:space="preserve"> </w:t>
      </w: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dba Silver Sage - $10,000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Children’s Association for Maximum Potential - $7,500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CMJC and CWJC of Gillespie County - $7,500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Comfort Public Library - $7,000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proofErr w:type="spellStart"/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Dietert</w:t>
      </w:r>
      <w:proofErr w:type="spellEnd"/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 xml:space="preserve"> Center - $10,000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 xml:space="preserve">El </w:t>
      </w:r>
      <w:proofErr w:type="spellStart"/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Progreso</w:t>
      </w:r>
      <w:proofErr w:type="spellEnd"/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 xml:space="preserve">Memorial </w:t>
      </w:r>
      <w:bookmarkStart w:id="0" w:name="_GoBack"/>
      <w:bookmarkEnd w:id="0"/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Library - $7,500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Families and Literacy - $10,000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Friends of Cibolo Wilderness - $5,000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Frontier Times Museum - $6,000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Gillespie County Historical Society</w:t>
      </w:r>
      <w:r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 xml:space="preserve"> </w:t>
      </w: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- $7,500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Habitat for Humanity Kerr County - $12,500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Hill Country Arts Foundation - $4,215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Hill Country CASA - $10,000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Hill Country Christian Counseling Center</w:t>
      </w:r>
      <w:r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 xml:space="preserve"> </w:t>
      </w: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dba New Hope - $8,000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Hill Country Daily Bread Ministries - $10,000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Hill Country Mission for Health. - $10,000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Hill Country Pregnancy Care Center - $7,000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Hill Country Youth Orchestra</w:t>
      </w:r>
      <w:r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s</w:t>
      </w: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 xml:space="preserve"> - $15,000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Honor Veterans Now - $5,000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Kendall County Women’s Shelter - $10,000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Kerr Arts and Cultural Center - $9,500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Kerr County Christian Action Council - $5,000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Kerr County Vincentian Organization - $15,000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K’STAR - $10,000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Mercy Gate Ministries - $3,500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Rainbow Senior Center - $8,000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Raphael Community Free Clinic - $10,000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Riverside Nature Center Association - $5,000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Texas Heritage Music Foundation - $5,000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Texas Ramp Project - $10,000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The Texas Hill Country University Center Foundation - $10,000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The Ultimate Gift of Life - $1,500</w:t>
      </w:r>
    </w:p>
    <w:p w:rsidR="00FD50D8" w:rsidRPr="00FD50D8" w:rsidRDefault="00FD50D8" w:rsidP="00FD50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 w:themeColor="accent5" w:themeShade="80"/>
          <w:sz w:val="27"/>
          <w:szCs w:val="27"/>
        </w:rPr>
      </w:pP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 xml:space="preserve">Volunteer Services </w:t>
      </w:r>
      <w:r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>Council</w:t>
      </w:r>
      <w:r w:rsidRPr="00FD50D8">
        <w:rPr>
          <w:rFonts w:ascii="Arial" w:eastAsia="Times New Roman" w:hAnsi="Arial" w:cs="Arial"/>
          <w:color w:val="1F4E79" w:themeColor="accent5" w:themeShade="80"/>
          <w:sz w:val="27"/>
          <w:szCs w:val="27"/>
        </w:rPr>
        <w:t xml:space="preserve"> - $10,000</w:t>
      </w:r>
    </w:p>
    <w:p w:rsidR="00706C15" w:rsidRPr="00FD50D8" w:rsidRDefault="00706C15">
      <w:pPr>
        <w:rPr>
          <w:color w:val="1F4E79" w:themeColor="accent5" w:themeShade="80"/>
        </w:rPr>
      </w:pPr>
    </w:p>
    <w:sectPr w:rsidR="00706C15" w:rsidRPr="00FD5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20DEE"/>
    <w:multiLevelType w:val="multilevel"/>
    <w:tmpl w:val="1746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D8"/>
    <w:rsid w:val="00706C15"/>
    <w:rsid w:val="00FD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6D6D"/>
  <w15:chartTrackingRefBased/>
  <w15:docId w15:val="{F2F85721-F8C2-4DCA-8CF7-6573A196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</dc:creator>
  <cp:keywords/>
  <dc:description/>
  <cp:lastModifiedBy>Austin</cp:lastModifiedBy>
  <cp:revision>1</cp:revision>
  <dcterms:created xsi:type="dcterms:W3CDTF">2022-02-17T14:55:00Z</dcterms:created>
  <dcterms:modified xsi:type="dcterms:W3CDTF">2022-02-17T14:57:00Z</dcterms:modified>
</cp:coreProperties>
</file>